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proofErr w:type="gramStart"/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</w:t>
      </w:r>
      <w:proofErr w:type="gramEnd"/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賽</w:t>
      </w:r>
    </w:p>
    <w:bookmarkEnd w:id="0"/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</w:t>
      </w:r>
      <w:proofErr w:type="gramStart"/>
      <w:r w:rsidR="001B5092">
        <w:rPr>
          <w:rFonts w:ascii="Times New Roman" w:eastAsia="標楷體" w:hAnsi="標楷體" w:hint="eastAsia"/>
          <w:sz w:val="26"/>
          <w:szCs w:val="26"/>
        </w:rPr>
        <w:t>特</w:t>
      </w:r>
      <w:proofErr w:type="gramEnd"/>
      <w:r w:rsidR="001B5092">
        <w:rPr>
          <w:rFonts w:ascii="Times New Roman" w:eastAsia="標楷體" w:hAnsi="標楷體" w:hint="eastAsia"/>
          <w:sz w:val="26"/>
          <w:szCs w:val="26"/>
        </w:rPr>
        <w:t>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</w:t>
      </w:r>
      <w:proofErr w:type="gramStart"/>
      <w:r w:rsidR="00974EF1" w:rsidRPr="003B2004">
        <w:rPr>
          <w:rFonts w:ascii="Times New Roman" w:eastAsia="標楷體" w:hAnsi="標楷體"/>
          <w:sz w:val="26"/>
          <w:szCs w:val="26"/>
        </w:rPr>
        <w:t>朗詩</w:t>
      </w:r>
      <w:proofErr w:type="gramEnd"/>
      <w:r w:rsidR="00974EF1" w:rsidRPr="003B2004">
        <w:rPr>
          <w:rFonts w:ascii="Times New Roman" w:eastAsia="標楷體" w:hAnsi="標楷體"/>
          <w:sz w:val="26"/>
          <w:szCs w:val="26"/>
        </w:rPr>
        <w:t>大賽，藉以增進語言學習的廣度，提昇學生使用母語能力，增加對母語詩歌的喜愛與認識。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</w:t>
      </w:r>
      <w:proofErr w:type="gramStart"/>
      <w:r w:rsidR="00940AC3">
        <w:rPr>
          <w:rFonts w:ascii="Times New Roman" w:eastAsia="標楷體" w:hAnsi="標楷體" w:hint="eastAsia"/>
          <w:sz w:val="26"/>
          <w:szCs w:val="26"/>
        </w:rPr>
        <w:t>佔</w:t>
      </w:r>
      <w:proofErr w:type="gramEnd"/>
      <w:r w:rsidR="00940AC3">
        <w:rPr>
          <w:rFonts w:ascii="Times New Roman" w:eastAsia="標楷體" w:hAnsi="標楷體" w:hint="eastAsia"/>
          <w:sz w:val="26"/>
          <w:szCs w:val="26"/>
        </w:rPr>
        <w:t>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以期蔚為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風氣，而收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宏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揚文化績效。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</w:t>
      </w:r>
      <w:proofErr w:type="gramStart"/>
      <w:r w:rsidR="003D4075" w:rsidRPr="000E07DC">
        <w:rPr>
          <w:rFonts w:ascii="Times New Roman" w:eastAsia="標楷體" w:hAnsi="標楷體" w:hint="eastAsia"/>
          <w:sz w:val="26"/>
          <w:szCs w:val="26"/>
        </w:rPr>
        <w:t>‧</w:t>
      </w:r>
      <w:proofErr w:type="gramEnd"/>
      <w:r w:rsidR="003D4075" w:rsidRPr="000E07DC">
        <w:rPr>
          <w:rFonts w:ascii="Times New Roman" w:eastAsia="標楷體" w:hAnsi="標楷體" w:hint="eastAsia"/>
          <w:sz w:val="26"/>
          <w:szCs w:val="26"/>
        </w:rPr>
        <w:t>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採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以內，</w:t>
      </w:r>
      <w:proofErr w:type="gramEnd"/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proofErr w:type="spellStart"/>
      <w:r w:rsidRPr="003B2004">
        <w:rPr>
          <w:rFonts w:ascii="Times New Roman" w:eastAsia="標楷體" w:hAnsi="Times New Roman"/>
          <w:sz w:val="26"/>
          <w:szCs w:val="26"/>
        </w:rPr>
        <w:t>youtube</w:t>
      </w:r>
      <w:proofErr w:type="spellEnd"/>
      <w:r w:rsidRPr="003B2004">
        <w:rPr>
          <w:rFonts w:ascii="Times New Roman" w:eastAsia="標楷體" w:hAnsi="標楷體"/>
          <w:sz w:val="26"/>
          <w:szCs w:val="26"/>
        </w:rPr>
        <w:t>，並至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活動官網之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客語類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</w:t>
      </w:r>
      <w:proofErr w:type="gramStart"/>
      <w:r w:rsidR="00A0603F" w:rsidRPr="003B2004">
        <w:rPr>
          <w:rFonts w:ascii="Times New Roman" w:eastAsia="標楷體" w:hAnsi="標楷體"/>
          <w:sz w:val="26"/>
          <w:szCs w:val="26"/>
        </w:rPr>
        <w:t>客語類</w:t>
      </w:r>
      <w:proofErr w:type="gramEnd"/>
      <w:r w:rsidR="00A0603F" w:rsidRPr="003B2004">
        <w:rPr>
          <w:rFonts w:ascii="Times New Roman" w:eastAsia="標楷體" w:hAnsi="標楷體"/>
          <w:sz w:val="26"/>
          <w:szCs w:val="26"/>
        </w:rPr>
        <w:t>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</w:t>
      </w:r>
      <w:proofErr w:type="gramStart"/>
      <w:r>
        <w:rPr>
          <w:rFonts w:ascii="Times New Roman" w:eastAsia="標楷體" w:hAnsi="標楷體" w:hint="eastAsia"/>
          <w:sz w:val="26"/>
          <w:szCs w:val="26"/>
        </w:rPr>
        <w:t>團體組限</w:t>
      </w:r>
      <w:proofErr w:type="gramEnd"/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>
        <w:rPr>
          <w:rFonts w:ascii="Times New Roman" w:eastAsia="標楷體" w:hAnsi="標楷體" w:hint="eastAsia"/>
          <w:sz w:val="26"/>
          <w:szCs w:val="26"/>
        </w:rPr>
        <w:lastRenderedPageBreak/>
        <w:t>不分語類</w:t>
      </w:r>
      <w:proofErr w:type="gramEnd"/>
      <w:r>
        <w:rPr>
          <w:rFonts w:ascii="Times New Roman" w:eastAsia="標楷體" w:hAnsi="標楷體" w:hint="eastAsia"/>
          <w:sz w:val="26"/>
          <w:szCs w:val="26"/>
        </w:rPr>
        <w:t>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</w:t>
      </w:r>
      <w:proofErr w:type="gramStart"/>
      <w:r w:rsidR="00A0603F" w:rsidRPr="003B2004">
        <w:rPr>
          <w:rFonts w:ascii="Times New Roman" w:eastAsia="標楷體" w:hAnsi="標楷體"/>
          <w:sz w:val="26"/>
          <w:szCs w:val="26"/>
        </w:rPr>
        <w:t>客語類</w:t>
      </w:r>
      <w:proofErr w:type="gramEnd"/>
      <w:r w:rsidR="00A0603F" w:rsidRPr="003B2004">
        <w:rPr>
          <w:rFonts w:ascii="Times New Roman" w:eastAsia="標楷體" w:hAnsi="標楷體"/>
          <w:sz w:val="26"/>
          <w:szCs w:val="26"/>
        </w:rPr>
        <w:t>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採線上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的朗詩演出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</w:t>
      </w:r>
      <w:proofErr w:type="gramStart"/>
      <w:r w:rsidR="006753FB" w:rsidRPr="00CE6191">
        <w:rPr>
          <w:rFonts w:ascii="Times New Roman" w:eastAsia="標楷體" w:hAnsi="標楷體" w:hint="eastAsia"/>
          <w:sz w:val="26"/>
          <w:szCs w:val="26"/>
        </w:rPr>
        <w:t>清晰、</w:t>
      </w:r>
      <w:proofErr w:type="gramEnd"/>
      <w:r w:rsidR="006753FB" w:rsidRPr="00CE6191">
        <w:rPr>
          <w:rFonts w:ascii="Times New Roman" w:eastAsia="標楷體" w:hAnsi="標楷體" w:hint="eastAsia"/>
          <w:sz w:val="26"/>
          <w:szCs w:val="26"/>
        </w:rPr>
        <w:t>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proofErr w:type="gramStart"/>
      <w:r>
        <w:rPr>
          <w:rFonts w:ascii="Times New Roman" w:eastAsia="標楷體" w:hAnsi="標楷體" w:hint="eastAsia"/>
          <w:sz w:val="26"/>
          <w:szCs w:val="26"/>
        </w:rPr>
        <w:t>一</w:t>
      </w:r>
      <w:proofErr w:type="gramEnd"/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</w:t>
      </w:r>
      <w:proofErr w:type="gramStart"/>
      <w:r w:rsidR="006753FB" w:rsidRPr="00314C4D">
        <w:rPr>
          <w:rFonts w:ascii="Times New Roman" w:eastAsia="標楷體" w:hAnsi="標楷體" w:hint="eastAsia"/>
          <w:sz w:val="26"/>
          <w:szCs w:val="26"/>
        </w:rPr>
        <w:t>由朗詩</w:t>
      </w:r>
      <w:proofErr w:type="gramEnd"/>
      <w:r w:rsidR="006753FB" w:rsidRPr="00314C4D">
        <w:rPr>
          <w:rFonts w:ascii="Times New Roman" w:eastAsia="標楷體" w:hAnsi="標楷體" w:hint="eastAsia"/>
          <w:sz w:val="26"/>
          <w:szCs w:val="26"/>
        </w:rPr>
        <w:t>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</w:t>
            </w: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語類</w:t>
            </w:r>
            <w:proofErr w:type="gramEnd"/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</w:t>
            </w: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語類</w:t>
            </w:r>
            <w:proofErr w:type="gramEnd"/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</w:t>
            </w:r>
            <w:proofErr w:type="gramEnd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</w:t>
            </w:r>
            <w:proofErr w:type="gramEnd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7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0AED8" w14:textId="77777777" w:rsidR="009E6D71" w:rsidRDefault="009E6D71" w:rsidP="00B66510">
      <w:r>
        <w:separator/>
      </w:r>
    </w:p>
  </w:endnote>
  <w:endnote w:type="continuationSeparator" w:id="0">
    <w:p w14:paraId="00730822" w14:textId="77777777" w:rsidR="009E6D71" w:rsidRDefault="009E6D71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77777777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2B2" w:rsidRPr="002142B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DEC31" w14:textId="77777777" w:rsidR="009E6D71" w:rsidRDefault="009E6D71" w:rsidP="00B66510">
      <w:r>
        <w:separator/>
      </w:r>
    </w:p>
  </w:footnote>
  <w:footnote w:type="continuationSeparator" w:id="0">
    <w:p w14:paraId="2C36603F" w14:textId="77777777" w:rsidR="009E6D71" w:rsidRDefault="009E6D71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 w15:restartNumberingAfterBreak="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F1"/>
    <w:rsid w:val="00003161"/>
    <w:rsid w:val="000A7842"/>
    <w:rsid w:val="000E07DC"/>
    <w:rsid w:val="00110B4C"/>
    <w:rsid w:val="00111EEB"/>
    <w:rsid w:val="00146668"/>
    <w:rsid w:val="00192A45"/>
    <w:rsid w:val="001B5092"/>
    <w:rsid w:val="00202A1B"/>
    <w:rsid w:val="002142B2"/>
    <w:rsid w:val="00222DCF"/>
    <w:rsid w:val="002856B4"/>
    <w:rsid w:val="002A5632"/>
    <w:rsid w:val="002B6745"/>
    <w:rsid w:val="002C4332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74EF1"/>
    <w:rsid w:val="009E17CD"/>
    <w:rsid w:val="009E6D71"/>
    <w:rsid w:val="00A0603F"/>
    <w:rsid w:val="00A57284"/>
    <w:rsid w:val="00A75233"/>
    <w:rsid w:val="00AC33D5"/>
    <w:rsid w:val="00B66510"/>
    <w:rsid w:val="00BB2C6B"/>
    <w:rsid w:val="00BF3F92"/>
    <w:rsid w:val="00C05A5B"/>
    <w:rsid w:val="00CC20E8"/>
    <w:rsid w:val="00CE6191"/>
    <w:rsid w:val="00CF7201"/>
    <w:rsid w:val="00D50256"/>
    <w:rsid w:val="00D55F8C"/>
    <w:rsid w:val="00DC6815"/>
    <w:rsid w:val="00E451C6"/>
    <w:rsid w:val="00E55A94"/>
    <w:rsid w:val="00E8041B"/>
    <w:rsid w:val="00EF4B96"/>
    <w:rsid w:val="00F71A21"/>
    <w:rsid w:val="00F76132"/>
    <w:rsid w:val="00F7627A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F055"/>
  <w15:docId w15:val="{58370A5A-4EA6-4385-B47D-30A23B46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adapoem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2020-11-17T04:18:00Z</cp:lastPrinted>
  <dcterms:created xsi:type="dcterms:W3CDTF">2021-09-07T06:45:00Z</dcterms:created>
  <dcterms:modified xsi:type="dcterms:W3CDTF">2021-09-07T06:45:00Z</dcterms:modified>
</cp:coreProperties>
</file>