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bookmarkEnd w:id="0"/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新課綱</w:t>
      </w:r>
      <w:proofErr w:type="gramEnd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千師萬</w:t>
      </w:r>
      <w:proofErr w:type="gramEnd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</w:t>
      </w:r>
      <w:proofErr w:type="gramStart"/>
      <w:r>
        <w:rPr>
          <w:rFonts w:eastAsia="標楷體"/>
          <w:color w:val="000000" w:themeColor="text1"/>
          <w:sz w:val="22"/>
          <w:szCs w:val="28"/>
          <w:lang w:eastAsia="zh-TW"/>
        </w:rPr>
        <w:t>時數予參與</w:t>
      </w:r>
      <w:proofErr w:type="gramEnd"/>
      <w:r>
        <w:rPr>
          <w:rFonts w:eastAsia="標楷體"/>
          <w:color w:val="000000" w:themeColor="text1"/>
          <w:sz w:val="22"/>
          <w:szCs w:val="28"/>
          <w:lang w:eastAsia="zh-TW"/>
        </w:rPr>
        <w:t>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proofErr w:type="gramEnd"/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</w:t>
      </w:r>
      <w:proofErr w:type="gramStart"/>
      <w:r w:rsidRPr="000334D3">
        <w:rPr>
          <w:rFonts w:eastAsia="標楷體" w:hint="eastAsia"/>
          <w:color w:val="000000" w:themeColor="text1"/>
          <w:sz w:val="22"/>
          <w:szCs w:val="28"/>
        </w:rPr>
        <w:t>＆</w:t>
      </w:r>
      <w:proofErr w:type="gramEnd"/>
      <w:r w:rsidRPr="000334D3">
        <w:rPr>
          <w:rFonts w:eastAsia="標楷體" w:hint="eastAsia"/>
          <w:color w:val="000000" w:themeColor="text1"/>
          <w:sz w:val="22"/>
          <w:szCs w:val="28"/>
        </w:rPr>
        <w:t>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proofErr w:type="gramEnd"/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</w:t>
      </w:r>
      <w:proofErr w:type="gramStart"/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＆</w:t>
      </w:r>
      <w:proofErr w:type="gramEnd"/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proofErr w:type="gramEnd"/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</w:t>
      </w:r>
      <w:proofErr w:type="gramStart"/>
      <w:r w:rsidRPr="000334D3">
        <w:rPr>
          <w:rFonts w:eastAsia="標楷體" w:hint="eastAsia"/>
          <w:color w:val="000000" w:themeColor="text1"/>
          <w:sz w:val="22"/>
          <w:szCs w:val="28"/>
        </w:rPr>
        <w:t>＆</w:t>
      </w:r>
      <w:proofErr w:type="gramEnd"/>
      <w:r w:rsidRPr="000334D3">
        <w:rPr>
          <w:rFonts w:eastAsia="標楷體" w:hint="eastAsia"/>
          <w:color w:val="000000" w:themeColor="text1"/>
          <w:sz w:val="22"/>
          <w:szCs w:val="28"/>
        </w:rPr>
        <w:t>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proofErr w:type="gramEnd"/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proofErr w:type="gramStart"/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</w:t>
      </w:r>
      <w:proofErr w:type="gramEnd"/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醍摩豆</w:t>
      </w:r>
      <w:proofErr w:type="gramEnd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</w:t>
            </w:r>
            <w:proofErr w:type="gramStart"/>
            <w:r>
              <w:rPr>
                <w:rFonts w:ascii="標楷體" w:eastAsia="標楷體" w:hAnsi="標楷體" w:hint="eastAsia"/>
              </w:rPr>
              <w:t>醍摩豆</w:t>
            </w:r>
            <w:proofErr w:type="gramEnd"/>
            <w:r>
              <w:rPr>
                <w:rFonts w:ascii="標楷體" w:eastAsia="標楷體" w:hAnsi="標楷體" w:hint="eastAsia"/>
              </w:rPr>
              <w:t>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</w:t>
            </w:r>
            <w:proofErr w:type="gramStart"/>
            <w:r>
              <w:rPr>
                <w:rFonts w:ascii="標楷體" w:eastAsia="標楷體" w:hAnsi="標楷體" w:hint="eastAsia"/>
              </w:rPr>
              <w:t>醍摩豆</w:t>
            </w:r>
            <w:proofErr w:type="gramEnd"/>
            <w:r>
              <w:rPr>
                <w:rFonts w:ascii="標楷體" w:eastAsia="標楷體" w:hAnsi="標楷體" w:hint="eastAsia"/>
              </w:rPr>
              <w:t>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</w:t>
            </w:r>
            <w:proofErr w:type="spellStart"/>
            <w:r w:rsidRPr="000334D3">
              <w:rPr>
                <w:rFonts w:ascii="標楷體" w:eastAsia="標楷體" w:hAnsi="標楷體" w:hint="eastAsia"/>
              </w:rPr>
              <w:t>H</w:t>
            </w:r>
            <w:r w:rsidRPr="000334D3">
              <w:rPr>
                <w:rFonts w:ascii="標楷體" w:eastAsia="標楷體" w:hAnsi="標楷體"/>
              </w:rPr>
              <w:t>iTeach</w:t>
            </w:r>
            <w:proofErr w:type="spellEnd"/>
            <w:r w:rsidRPr="000334D3">
              <w:rPr>
                <w:rFonts w:ascii="標楷體" w:eastAsia="標楷體" w:hAnsi="標楷體"/>
              </w:rPr>
              <w:t xml:space="preserve">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proofErr w:type="spellStart"/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</w:t>
            </w:r>
            <w:proofErr w:type="spellEnd"/>
            <w:r w:rsidRPr="000334D3">
              <w:rPr>
                <w:rFonts w:ascii="標楷體" w:eastAsia="標楷體" w:hAnsi="標楷體"/>
              </w:rPr>
              <w:t xml:space="preserve">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</w:t>
            </w:r>
            <w:proofErr w:type="gramStart"/>
            <w:r w:rsidRPr="000334D3">
              <w:rPr>
                <w:rFonts w:ascii="標楷體" w:eastAsia="標楷體" w:hAnsi="標楷體" w:hint="eastAsia"/>
              </w:rPr>
              <w:t>＆</w:t>
            </w:r>
            <w:proofErr w:type="gramEnd"/>
            <w:r w:rsidRPr="000334D3">
              <w:rPr>
                <w:rFonts w:ascii="標楷體" w:eastAsia="標楷體" w:hAnsi="標楷體" w:hint="eastAsia"/>
              </w:rPr>
              <w:t>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</w:t>
            </w:r>
            <w:proofErr w:type="gramStart"/>
            <w:r>
              <w:rPr>
                <w:rFonts w:ascii="標楷體" w:eastAsia="標楷體" w:hAnsi="標楷體" w:hint="eastAsia"/>
              </w:rPr>
              <w:t>醍摩豆</w:t>
            </w:r>
            <w:proofErr w:type="gramEnd"/>
            <w:r>
              <w:rPr>
                <w:rFonts w:ascii="標楷體" w:eastAsia="標楷體" w:hAnsi="標楷體" w:hint="eastAsia"/>
              </w:rPr>
              <w:t>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</w:t>
            </w:r>
            <w:proofErr w:type="gramStart"/>
            <w:r>
              <w:rPr>
                <w:rFonts w:ascii="標楷體" w:eastAsia="標楷體" w:hAnsi="標楷體" w:hint="eastAsia"/>
              </w:rPr>
              <w:t>醍摩豆</w:t>
            </w:r>
            <w:proofErr w:type="gramEnd"/>
            <w:r>
              <w:rPr>
                <w:rFonts w:ascii="標楷體" w:eastAsia="標楷體" w:hAnsi="標楷體" w:hint="eastAsia"/>
              </w:rPr>
              <w:t>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</w:t>
            </w:r>
            <w:proofErr w:type="gramStart"/>
            <w:r w:rsidRPr="000334D3">
              <w:rPr>
                <w:rFonts w:ascii="標楷體" w:eastAsia="標楷體" w:hAnsi="標楷體" w:hint="eastAsia"/>
              </w:rPr>
              <w:t>施測更簡單</w:t>
            </w:r>
            <w:proofErr w:type="gramEnd"/>
            <w:r w:rsidRPr="000334D3">
              <w:rPr>
                <w:rFonts w:ascii="標楷體" w:eastAsia="標楷體" w:hAnsi="標楷體" w:hint="eastAsia"/>
              </w:rPr>
              <w:t>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</w:t>
      </w:r>
      <w:proofErr w:type="gramStart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逕洽本</w:t>
      </w:r>
      <w:proofErr w:type="gramEnd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E2E9B" w14:textId="77777777" w:rsidR="00DF4C67" w:rsidRDefault="00DF4C67">
      <w:r>
        <w:separator/>
      </w:r>
    </w:p>
  </w:endnote>
  <w:endnote w:type="continuationSeparator" w:id="0">
    <w:p w14:paraId="3D7A8F61" w14:textId="77777777" w:rsidR="00DF4C67" w:rsidRDefault="00DF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汉仪楷体KW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A4F67" w14:textId="77777777" w:rsidR="00DF4C67" w:rsidRDefault="00DF4C67">
      <w:r>
        <w:separator/>
      </w:r>
    </w:p>
  </w:footnote>
  <w:footnote w:type="continuationSeparator" w:id="0">
    <w:p w14:paraId="1A7B7256" w14:textId="77777777" w:rsidR="00DF4C67" w:rsidRDefault="00DF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6BB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DF4C67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2022-05-03T05:34:00Z</dcterms:created>
  <dcterms:modified xsi:type="dcterms:W3CDTF">2022-05-03T05:34:00Z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