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bookmarkStart w:id="0" w:name="_GoBack"/>
      <w:r w:rsidR="00AC5697" w:rsidRPr="002B7F46">
        <w:rPr>
          <w:rFonts w:asciiTheme="majorEastAsia" w:eastAsiaTheme="majorEastAsia" w:hAnsiTheme="majorEastAsia" w:hint="eastAsia"/>
          <w:b/>
          <w:sz w:val="40"/>
          <w:szCs w:val="40"/>
        </w:rPr>
        <w:t>簡章</w:t>
      </w:r>
      <w:bookmarkEnd w:id="0"/>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w:t>
      </w:r>
      <w:proofErr w:type="gramStart"/>
      <w:r w:rsidRPr="00FB2355">
        <w:rPr>
          <w:rFonts w:asciiTheme="majorEastAsia" w:eastAsiaTheme="majorEastAsia" w:hAnsiTheme="majorEastAsia" w:hint="eastAsia"/>
          <w:kern w:val="0"/>
        </w:rPr>
        <w:t>準</w:t>
      </w:r>
      <w:proofErr w:type="gramEnd"/>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proofErr w:type="gramStart"/>
            <w:r w:rsidRPr="004B4C47">
              <w:rPr>
                <w:rFonts w:asciiTheme="majorEastAsia" w:eastAsiaTheme="majorEastAsia" w:hAnsiTheme="majorEastAsia" w:hint="eastAsia"/>
                <w:kern w:val="0"/>
              </w:rPr>
              <w:t>（</w:t>
            </w:r>
            <w:proofErr w:type="gramEnd"/>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proofErr w:type="gramStart"/>
            <w:r w:rsidRPr="004B4C47">
              <w:rPr>
                <w:rFonts w:asciiTheme="majorEastAsia" w:eastAsiaTheme="majorEastAsia" w:hAnsiTheme="majorEastAsia" w:hint="eastAsia"/>
                <w:kern w:val="0"/>
              </w:rPr>
              <w:t>）</w:t>
            </w:r>
            <w:proofErr w:type="gramEnd"/>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w:t>
            </w:r>
            <w:proofErr w:type="gramStart"/>
            <w:r w:rsidRPr="005F51DE">
              <w:rPr>
                <w:rFonts w:asciiTheme="majorEastAsia" w:eastAsiaTheme="majorEastAsia" w:hAnsiTheme="majorEastAsia" w:hint="eastAsia"/>
                <w:sz w:val="24"/>
                <w:szCs w:val="24"/>
                <w:lang w:eastAsia="zh-TW"/>
              </w:rPr>
              <w:t>繕</w:t>
            </w:r>
            <w:proofErr w:type="gramEnd"/>
            <w:r w:rsidRPr="005F51DE">
              <w:rPr>
                <w:rFonts w:asciiTheme="majorEastAsia" w:eastAsiaTheme="majorEastAsia" w:hAnsiTheme="majorEastAsia" w:hint="eastAsia"/>
                <w:sz w:val="24"/>
                <w:szCs w:val="24"/>
                <w:lang w:eastAsia="zh-TW"/>
              </w:rPr>
              <w:t>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proofErr w:type="gramStart"/>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proofErr w:type="gramEnd"/>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proofErr w:type="gramStart"/>
      <w:r w:rsidR="00614C06">
        <w:rPr>
          <w:rFonts w:asciiTheme="minorEastAsia" w:eastAsiaTheme="minorEastAsia" w:hAnsiTheme="minorEastAsia" w:hint="eastAsia"/>
          <w:b/>
        </w:rPr>
        <w:t>（</w:t>
      </w:r>
      <w:proofErr w:type="gramEnd"/>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proofErr w:type="gramStart"/>
      <w:r w:rsidR="00614C06">
        <w:rPr>
          <w:rFonts w:asciiTheme="minorEastAsia" w:eastAsiaTheme="minorEastAsia" w:hAnsiTheme="minorEastAsia" w:hint="eastAsia"/>
          <w:b/>
        </w:rPr>
        <w:t>）</w:t>
      </w:r>
      <w:proofErr w:type="gramEnd"/>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w:t>
      </w:r>
      <w:proofErr w:type="gramStart"/>
      <w:r w:rsidR="00872212" w:rsidRPr="0019661D">
        <w:rPr>
          <w:rFonts w:asciiTheme="minorEastAsia" w:eastAsiaTheme="minorEastAsia" w:hAnsiTheme="minorEastAsia" w:hint="eastAsia"/>
        </w:rPr>
        <w:t>寄送並註記</w:t>
      </w:r>
      <w:proofErr w:type="gramEnd"/>
      <w:r w:rsidR="00872212" w:rsidRPr="0019661D">
        <w:rPr>
          <w:rFonts w:asciiTheme="minorEastAsia" w:eastAsiaTheme="minorEastAsia" w:hAnsiTheme="minorEastAsia" w:hint="eastAsia"/>
        </w:rPr>
        <w:t>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w:t>
      </w:r>
      <w:proofErr w:type="gramStart"/>
      <w:r w:rsidR="00AE5CC8" w:rsidRPr="006C5951">
        <w:rPr>
          <w:rFonts w:asciiTheme="majorEastAsia" w:eastAsiaTheme="majorEastAsia" w:hAnsiTheme="majorEastAsia" w:hint="eastAsia"/>
        </w:rPr>
        <w:t>不</w:t>
      </w:r>
      <w:proofErr w:type="gramEnd"/>
      <w:r w:rsidR="00AE5CC8" w:rsidRPr="006C5951">
        <w:rPr>
          <w:rFonts w:asciiTheme="majorEastAsia" w:eastAsiaTheme="majorEastAsia" w:hAnsiTheme="majorEastAsia" w:hint="eastAsia"/>
        </w:rPr>
        <w:t>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w:t>
            </w:r>
            <w:proofErr w:type="gramStart"/>
            <w:r w:rsidRPr="00B132A4">
              <w:rPr>
                <w:rFonts w:hint="eastAsia"/>
                <w:spacing w:val="6"/>
                <w:sz w:val="16"/>
                <w:szCs w:val="16"/>
              </w:rPr>
              <w:t>於文創商品</w:t>
            </w:r>
            <w:proofErr w:type="gramEnd"/>
            <w:r w:rsidRPr="00B132A4">
              <w:rPr>
                <w:rFonts w:hint="eastAsia"/>
                <w:spacing w:val="6"/>
                <w:sz w:val="16"/>
                <w:szCs w:val="16"/>
              </w:rPr>
              <w:t>、電視、電影或任何影像、廣播或任何廣播系統傳送之訊息、雜誌、報章或其他平面輸出物、網路其他通訊方法。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w:t>
            </w:r>
            <w:proofErr w:type="gramStart"/>
            <w:r w:rsidRPr="00B132A4">
              <w:rPr>
                <w:rFonts w:hint="eastAsia"/>
                <w:spacing w:val="6"/>
                <w:sz w:val="16"/>
                <w:szCs w:val="16"/>
              </w:rPr>
              <w:t>文創品</w:t>
            </w:r>
            <w:proofErr w:type="gramEnd"/>
            <w:r w:rsidRPr="00B132A4">
              <w:rPr>
                <w:rFonts w:hint="eastAsia"/>
                <w:spacing w:val="6"/>
                <w:sz w:val="16"/>
                <w:szCs w:val="16"/>
              </w:rPr>
              <w:t>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w:t>
            </w:r>
            <w:proofErr w:type="gramStart"/>
            <w:r w:rsidR="00065EAA" w:rsidRPr="00B132A4">
              <w:rPr>
                <w:rFonts w:hint="eastAsia"/>
                <w:spacing w:val="6"/>
                <w:sz w:val="16"/>
                <w:szCs w:val="16"/>
              </w:rPr>
              <w:t>不</w:t>
            </w:r>
            <w:proofErr w:type="gramEnd"/>
            <w:r w:rsidR="00065EAA" w:rsidRPr="00B132A4">
              <w:rPr>
                <w:rFonts w:hint="eastAsia"/>
                <w:spacing w:val="6"/>
                <w:sz w:val="16"/>
                <w:szCs w:val="16"/>
              </w:rPr>
              <w:t>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proofErr w:type="gramStart"/>
            <w:r w:rsidRPr="00180CC6">
              <w:rPr>
                <w:rFonts w:hint="eastAsia"/>
                <w:sz w:val="28"/>
                <w:szCs w:val="28"/>
              </w:rPr>
              <w:t>浮貼處</w:t>
            </w:r>
            <w:proofErr w:type="gramEnd"/>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proofErr w:type="gramStart"/>
            <w:r w:rsidRPr="00180CC6">
              <w:rPr>
                <w:rFonts w:hint="eastAsia"/>
                <w:sz w:val="28"/>
                <w:szCs w:val="28"/>
              </w:rPr>
              <w:t>浮貼處</w:t>
            </w:r>
            <w:proofErr w:type="gramEnd"/>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proofErr w:type="gramStart"/>
            <w:r w:rsidRPr="00180CC6">
              <w:rPr>
                <w:rFonts w:hint="eastAsia"/>
                <w:sz w:val="28"/>
                <w:szCs w:val="28"/>
              </w:rPr>
              <w:t>浮貼處</w:t>
            </w:r>
            <w:proofErr w:type="gramEnd"/>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proofErr w:type="gramStart"/>
      <w:r w:rsidRPr="00F90FDD">
        <w:rPr>
          <w:rFonts w:ascii="標楷體" w:eastAsia="標楷體" w:hAnsi="標楷體" w:hint="eastAsia"/>
          <w:b/>
        </w:rPr>
        <w:t>立書人</w:t>
      </w:r>
      <w:proofErr w:type="gramEnd"/>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proofErr w:type="gramStart"/>
      <w:r w:rsidRPr="004B0EE0">
        <w:rPr>
          <w:rFonts w:ascii="微軟正黑體" w:eastAsia="微軟正黑體" w:hAnsi="微軟正黑體" w:hint="eastAsia"/>
          <w:sz w:val="20"/>
          <w:szCs w:val="20"/>
        </w:rPr>
        <w:t>茲立書</w:t>
      </w:r>
      <w:proofErr w:type="gramEnd"/>
      <w:r w:rsidRPr="004B0EE0">
        <w:rPr>
          <w:rFonts w:ascii="微軟正黑體" w:eastAsia="微軟正黑體" w:hAnsi="微軟正黑體" w:hint="eastAsia"/>
          <w:sz w:val="20"/>
          <w:szCs w:val="20"/>
        </w:rPr>
        <w:t>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proofErr w:type="gramStart"/>
      <w:r w:rsidRPr="00540662">
        <w:rPr>
          <w:rFonts w:ascii="微軟正黑體" w:eastAsia="微軟正黑體" w:hAnsi="微軟正黑體" w:hint="eastAsia"/>
          <w:sz w:val="20"/>
          <w:szCs w:val="20"/>
          <w:lang w:eastAsia="zh-TW"/>
        </w:rPr>
        <w:t>立書人</w:t>
      </w:r>
      <w:proofErr w:type="gramEnd"/>
      <w:r w:rsidRPr="00540662">
        <w:rPr>
          <w:rFonts w:ascii="微軟正黑體" w:eastAsia="微軟正黑體" w:hAnsi="微軟正黑體" w:hint="eastAsia"/>
          <w:sz w:val="20"/>
          <w:szCs w:val="20"/>
          <w:lang w:eastAsia="zh-TW"/>
        </w:rPr>
        <w:t>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w:t>
      </w:r>
      <w:proofErr w:type="gramStart"/>
      <w:r w:rsidRPr="00540662">
        <w:rPr>
          <w:rFonts w:ascii="微軟正黑體" w:eastAsia="微軟正黑體" w:hAnsi="微軟正黑體" w:hint="eastAsia"/>
          <w:sz w:val="20"/>
          <w:szCs w:val="20"/>
          <w:lang w:eastAsia="zh-TW"/>
        </w:rPr>
        <w:t>著作立書</w:t>
      </w:r>
      <w:proofErr w:type="gramEnd"/>
      <w:r w:rsidRPr="00540662">
        <w:rPr>
          <w:rFonts w:ascii="微軟正黑體" w:eastAsia="微軟正黑體" w:hAnsi="微軟正黑體" w:hint="eastAsia"/>
          <w:sz w:val="20"/>
          <w:szCs w:val="20"/>
          <w:lang w:eastAsia="zh-TW"/>
        </w:rPr>
        <w:t>人僅保留著作人格權。</w:t>
      </w:r>
      <w:proofErr w:type="gramStart"/>
      <w:r w:rsidRPr="00B344DA">
        <w:rPr>
          <w:rFonts w:ascii="標楷體" w:eastAsia="標楷體" w:hAnsi="標楷體" w:hint="eastAsia"/>
          <w:b/>
          <w:sz w:val="24"/>
          <w:szCs w:val="24"/>
          <w:lang w:eastAsia="zh-TW"/>
        </w:rPr>
        <w:t>（</w:t>
      </w:r>
      <w:proofErr w:type="gramEnd"/>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roofErr w:type="gramStart"/>
      <w:r w:rsidRPr="00B344DA">
        <w:rPr>
          <w:rFonts w:ascii="標楷體" w:eastAsia="標楷體" w:hAnsi="標楷體" w:hint="eastAsia"/>
          <w:b/>
          <w:sz w:val="24"/>
          <w:szCs w:val="24"/>
          <w:lang w:eastAsia="zh-TW"/>
        </w:rPr>
        <w:t>）</w:t>
      </w:r>
      <w:proofErr w:type="gramEnd"/>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w:t>
      </w:r>
      <w:proofErr w:type="gramStart"/>
      <w:r w:rsidRPr="00540662">
        <w:rPr>
          <w:rFonts w:ascii="微軟正黑體" w:eastAsia="微軟正黑體" w:hAnsi="微軟正黑體" w:hint="eastAsia"/>
          <w:sz w:val="20"/>
          <w:szCs w:val="20"/>
          <w:lang w:eastAsia="zh-TW"/>
        </w:rPr>
        <w:t>文創品</w:t>
      </w:r>
      <w:proofErr w:type="gramEnd"/>
      <w:r w:rsidRPr="00540662">
        <w:rPr>
          <w:rFonts w:ascii="微軟正黑體" w:eastAsia="微軟正黑體" w:hAnsi="微軟正黑體" w:hint="eastAsia"/>
          <w:sz w:val="20"/>
          <w:szCs w:val="20"/>
          <w:lang w:eastAsia="zh-TW"/>
        </w:rPr>
        <w:t>、電視、電影或任何影像、廣播或任何廣播系統傳送之訊息、雜誌、報章或其他平面輸出物、網路其他通訊方法。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w:t>
      </w:r>
      <w:proofErr w:type="gramStart"/>
      <w:r w:rsidRPr="00540662">
        <w:rPr>
          <w:rFonts w:ascii="微軟正黑體" w:eastAsia="微軟正黑體" w:hAnsi="微軟正黑體" w:hint="eastAsia"/>
          <w:sz w:val="20"/>
          <w:szCs w:val="20"/>
          <w:lang w:eastAsia="zh-TW"/>
        </w:rPr>
        <w:t>文創品</w:t>
      </w:r>
      <w:proofErr w:type="gramEnd"/>
      <w:r w:rsidRPr="00540662">
        <w:rPr>
          <w:rFonts w:ascii="微軟正黑體" w:eastAsia="微軟正黑體" w:hAnsi="微軟正黑體" w:hint="eastAsia"/>
          <w:sz w:val="20"/>
          <w:szCs w:val="20"/>
          <w:lang w:eastAsia="zh-TW"/>
        </w:rPr>
        <w:t>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w:t>
      </w:r>
      <w:proofErr w:type="gramStart"/>
      <w:r w:rsidRPr="004B0EE0">
        <w:rPr>
          <w:rFonts w:ascii="微軟正黑體" w:eastAsia="微軟正黑體" w:hAnsi="微軟正黑體" w:hint="eastAsia"/>
          <w:sz w:val="20"/>
          <w:szCs w:val="20"/>
        </w:rPr>
        <w:t>不</w:t>
      </w:r>
      <w:proofErr w:type="gramEnd"/>
      <w:r w:rsidRPr="004B0EE0">
        <w:rPr>
          <w:rFonts w:ascii="微軟正黑體" w:eastAsia="微軟正黑體" w:hAnsi="微軟正黑體" w:hint="eastAsia"/>
          <w:sz w:val="20"/>
          <w:szCs w:val="20"/>
        </w:rPr>
        <w:t>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及其法定代理人保證本著作無侵害第三人智慧財產權之情事。本著作若係改作或編輯著作則已獲得原著作權人之授權同意；若本著作為二人以上之共同著作或共有之著作，</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及其法定代理人如有違反前項之擔保致他人受有損害者，將自行處理並承擔法律責任，概</w:t>
      </w:r>
      <w:proofErr w:type="gramStart"/>
      <w:r w:rsidRPr="004B0EE0">
        <w:rPr>
          <w:rFonts w:ascii="微軟正黑體" w:eastAsia="微軟正黑體" w:hAnsi="微軟正黑體" w:hint="eastAsia"/>
          <w:sz w:val="20"/>
          <w:szCs w:val="20"/>
          <w:lang w:eastAsia="zh-TW"/>
        </w:rPr>
        <w:t>與安得烈與安得</w:t>
      </w:r>
      <w:proofErr w:type="gramEnd"/>
      <w:r w:rsidRPr="004B0EE0">
        <w:rPr>
          <w:rFonts w:ascii="微軟正黑體" w:eastAsia="微軟正黑體" w:hAnsi="微軟正黑體" w:hint="eastAsia"/>
          <w:sz w:val="20"/>
          <w:szCs w:val="20"/>
          <w:lang w:eastAsia="zh-TW"/>
        </w:rPr>
        <w:t>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及其法定代理人仍得</w:t>
      </w:r>
      <w:proofErr w:type="gramStart"/>
      <w:r w:rsidRPr="004B0EE0">
        <w:rPr>
          <w:rFonts w:ascii="微軟正黑體" w:eastAsia="微軟正黑體" w:hAnsi="微軟正黑體" w:hint="eastAsia"/>
          <w:sz w:val="20"/>
          <w:szCs w:val="20"/>
          <w:lang w:eastAsia="zh-TW"/>
        </w:rPr>
        <w:t>行使其讓</w:t>
      </w:r>
      <w:proofErr w:type="gramEnd"/>
      <w:r w:rsidRPr="004B0EE0">
        <w:rPr>
          <w:rFonts w:ascii="微軟正黑體" w:eastAsia="微軟正黑體" w:hAnsi="微軟正黑體" w:hint="eastAsia"/>
          <w:sz w:val="20"/>
          <w:szCs w:val="20"/>
          <w:lang w:eastAsia="zh-TW"/>
        </w:rPr>
        <w:t>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w:t>
      </w:r>
      <w:proofErr w:type="gramStart"/>
      <w:r w:rsidRPr="004B0EE0">
        <w:rPr>
          <w:rFonts w:ascii="微軟正黑體" w:eastAsia="微軟正黑體" w:hAnsi="微軟正黑體" w:hint="eastAsia"/>
          <w:sz w:val="20"/>
          <w:szCs w:val="20"/>
          <w:lang w:eastAsia="zh-TW"/>
        </w:rPr>
        <w:t>尊重立書人</w:t>
      </w:r>
      <w:proofErr w:type="gramEnd"/>
      <w:r w:rsidRPr="004B0EE0">
        <w:rPr>
          <w:rFonts w:ascii="微軟正黑體" w:eastAsia="微軟正黑體" w:hAnsi="微軟正黑體" w:hint="eastAsia"/>
          <w:sz w:val="20"/>
          <w:szCs w:val="20"/>
          <w:lang w:eastAsia="zh-TW"/>
        </w:rPr>
        <w:t>之具名權。除另有約定外，安得烈與安得烈策略合作之第三方應依著作權法之規定適當</w:t>
      </w:r>
      <w:proofErr w:type="gramStart"/>
      <w:r w:rsidRPr="004B0EE0">
        <w:rPr>
          <w:rFonts w:ascii="微軟正黑體" w:eastAsia="微軟正黑體" w:hAnsi="微軟正黑體" w:hint="eastAsia"/>
          <w:sz w:val="20"/>
          <w:szCs w:val="20"/>
          <w:lang w:eastAsia="zh-TW"/>
        </w:rPr>
        <w:t>表明立書人為</w:t>
      </w:r>
      <w:proofErr w:type="gramEnd"/>
      <w:r w:rsidRPr="004B0EE0">
        <w:rPr>
          <w:rFonts w:ascii="微軟正黑體" w:eastAsia="微軟正黑體" w:hAnsi="微軟正黑體" w:hint="eastAsia"/>
          <w:sz w:val="20"/>
          <w:szCs w:val="20"/>
          <w:lang w:eastAsia="zh-TW"/>
        </w:rPr>
        <w:t>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w:t>
      </w:r>
      <w:proofErr w:type="gramStart"/>
      <w:r w:rsidRPr="004B0EE0">
        <w:rPr>
          <w:rFonts w:ascii="微軟正黑體" w:eastAsia="微軟正黑體" w:hAnsi="微軟正黑體" w:hint="eastAsia"/>
          <w:sz w:val="20"/>
          <w:szCs w:val="20"/>
        </w:rPr>
        <w:t>準</w:t>
      </w:r>
      <w:proofErr w:type="gramEnd"/>
      <w:r w:rsidRPr="004B0EE0">
        <w:rPr>
          <w:rFonts w:ascii="微軟正黑體" w:eastAsia="微軟正黑體" w:hAnsi="微軟正黑體" w:hint="eastAsia"/>
          <w:sz w:val="20"/>
          <w:szCs w:val="20"/>
        </w:rPr>
        <w:t>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proofErr w:type="gramStart"/>
      <w:r w:rsidR="009F4EB5" w:rsidRPr="006A66EF">
        <w:rPr>
          <w:rFonts w:ascii="標楷體" w:eastAsia="標楷體" w:hAnsi="微軟正黑體" w:hint="eastAsia"/>
          <w:b/>
        </w:rPr>
        <w:t>立書人</w:t>
      </w:r>
      <w:proofErr w:type="gramEnd"/>
      <w:r w:rsidR="009F4EB5" w:rsidRPr="006A66EF">
        <w:rPr>
          <w:rFonts w:ascii="標楷體" w:eastAsia="標楷體" w:hAnsi="微軟正黑體" w:hint="eastAsia"/>
          <w:b/>
        </w:rPr>
        <w:t>（著作人）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8DF" w:rsidRDefault="00BC28DF" w:rsidP="00A60338">
      <w:r>
        <w:separator/>
      </w:r>
    </w:p>
  </w:endnote>
  <w:endnote w:type="continuationSeparator" w:id="0">
    <w:p w:rsidR="00BC28DF" w:rsidRDefault="00BC28DF"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8DF" w:rsidRDefault="00BC28DF" w:rsidP="00A60338">
      <w:r>
        <w:separator/>
      </w:r>
    </w:p>
  </w:footnote>
  <w:footnote w:type="continuationSeparator" w:id="0">
    <w:p w:rsidR="00BC28DF" w:rsidRDefault="00BC28DF" w:rsidP="00A6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28DF"/>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001"/>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A022-7C84-47E0-AA7D-09E8BA0F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738</Words>
  <Characters>4207</Characters>
  <Application>Microsoft Office Word</Application>
  <DocSecurity>0</DocSecurity>
  <Lines>35</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2022-02-10T06:24:00Z</cp:lastPrinted>
  <dcterms:created xsi:type="dcterms:W3CDTF">2022-03-02T06:45:00Z</dcterms:created>
  <dcterms:modified xsi:type="dcterms:W3CDTF">2022-03-02T06:45:00Z</dcterms:modified>
</cp:coreProperties>
</file>